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重庆邦景石材有限公司毛坪建材用砂岩矿山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9060" w:type="dxa"/>
            <w:gridSpan w:val="3"/>
            <w:vAlign w:val="center"/>
          </w:tcPr>
          <w:p>
            <w:pPr>
              <w:adjustRightInd w:val="0"/>
              <w:snapToGrid w:val="0"/>
              <w:rPr>
                <w:rFonts w:ascii="黑体" w:hAnsi="黑体" w:eastAsia="黑体"/>
                <w:sz w:val="21"/>
                <w:szCs w:val="21"/>
              </w:rPr>
            </w:pPr>
            <w:bookmarkStart w:id="0" w:name="_GoBack"/>
            <w:r>
              <w:rPr>
                <w:rFonts w:ascii="黑体" w:hAnsi="黑体" w:eastAsia="黑体"/>
                <w:sz w:val="21"/>
                <w:szCs w:val="21"/>
              </w:rPr>
              <w:t>二、本页为公众信息</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2F7206"/>
    <w:rsid w:val="0A0B46F4"/>
    <w:rsid w:val="0C8A393A"/>
    <w:rsid w:val="13BE6032"/>
    <w:rsid w:val="27BA5E91"/>
    <w:rsid w:val="34593BF2"/>
    <w:rsid w:val="44EB321A"/>
    <w:rsid w:val="507D54E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徐兴科</cp:lastModifiedBy>
  <dcterms:modified xsi:type="dcterms:W3CDTF">2019-02-18T03:10:09Z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